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0"/>
          <w:smallCaps w:val="0"/>
          <w:strike w:val="0"/>
          <w:color w:val="1f4e79"/>
          <w:sz w:val="36"/>
          <w:szCs w:val="36"/>
          <w:u w:val="none"/>
          <w:shd w:fill="auto" w:val="clear"/>
          <w:vertAlign w:val="baseline"/>
        </w:rPr>
      </w:pPr>
      <w:r w:rsidDel="00000000" w:rsidR="00000000" w:rsidRPr="00000000">
        <w:rPr>
          <w:rFonts w:ascii="Calibri" w:cs="Calibri" w:eastAsia="Calibri" w:hAnsi="Calibri"/>
          <w:b w:val="1"/>
          <w:i w:val="0"/>
          <w:smallCaps w:val="0"/>
          <w:strike w:val="0"/>
          <w:color w:val="1f4e79"/>
          <w:sz w:val="36"/>
          <w:szCs w:val="36"/>
          <w:u w:val="none"/>
          <w:shd w:fill="auto" w:val="clear"/>
          <w:vertAlign w:val="baseline"/>
          <w:rtl w:val="0"/>
        </w:rPr>
        <w:t xml:space="preserve">MAGICO VALLE SAGRADO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1"/>
          <w:smallCaps w:val="0"/>
          <w:strike w:val="0"/>
          <w:color w:val="ca652b"/>
          <w:sz w:val="24"/>
          <w:szCs w:val="24"/>
          <w:u w:val="none"/>
          <w:shd w:fill="auto" w:val="clear"/>
          <w:vertAlign w:val="baseline"/>
        </w:rPr>
      </w:pPr>
      <w:r w:rsidDel="00000000" w:rsidR="00000000" w:rsidRPr="00000000">
        <w:rPr>
          <w:rFonts w:ascii="Calibri" w:cs="Calibri" w:eastAsia="Calibri" w:hAnsi="Calibri"/>
          <w:b w:val="1"/>
          <w:i w:val="1"/>
          <w:smallCaps w:val="0"/>
          <w:strike w:val="0"/>
          <w:color w:val="ca652b"/>
          <w:sz w:val="24"/>
          <w:szCs w:val="24"/>
          <w:u w:val="none"/>
          <w:shd w:fill="auto" w:val="clear"/>
          <w:vertAlign w:val="baseline"/>
          <w:rtl w:val="0"/>
        </w:rPr>
        <w:t xml:space="preserve">Salidas: Diarias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0"/>
          <w:i w:val="1"/>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ITINERARIO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01: </w:t>
        <w:tab/>
        <w:t xml:space="preserve">MÉXICO – LIMA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 en el aeropuerto de la Ciudad de México para abordar el vuelo con destino a Lima. Llegada, recepción y traslado al hotel. Alojamiento.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02:</w:t>
        <w:tab/>
        <w:tab/>
        <w:t xml:space="preserve">LIMA - Visita la ciudad de Lima: Centro Histórico, Convento Santo Domingo y Museo Larco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Visitará la parte moderna y colonial de Lima, “La Ciudad de los Reyes”, empezando por los distritos de Miraflores y San Isidro y pasando por una huaca o lugar sagrado pre Inca, antes dirigirse al Centro Histórico. Allí, recorrerá algunas de las calles más importantes en la historia de la ciudad, que le conducirán hacia la Plaza Mayor, donde podrá disfrutar y tomar fotografías de algunos de los principales ejemplos de arquitectura colonial. Además, visitará el Convento de Santo Domingo, una de las edificaciones religiosas más importantes de estilo colonial. Luego de explorar el centro histórico, se dirigirá hacia el Museo Larco, el cual alberga la insuperable colección privada de Tesoros del Antiguo Perú. Alojamiento.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03:</w:t>
        <w:tab/>
        <w:tab/>
        <w:t xml:space="preserve">LIMA – CUSCO – VALLE SAGRADO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hora prevista, traslado al aeropuerto para salir en vuelo con destino a Cusco. A su llegada será asistido en el aeropuerto de Cusco y luego trasladado a su hotel en el Valle Sagrado. Tendrá el resto del día para descansar y aclimatarse. Alojamiento en Valle Sagrado.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 04:</w:t>
        <w:tab/>
        <w:tab/>
        <w:t xml:space="preserve">VALLE SAGRADO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Recorrerá el Valle Sagrado de los Incas, descubriendo su fascinante cultura, rodeado de majestuosas montañas. Conocerá un pequeño y pintoresco pueblo andino, donde visitará un importante sitio arqueológico Inca y aprenderá de la historia local. Luego, hará una pausa en un restaurante local para disfrutar de un delicioso almuerzo. En seguida, continuará hacia Ollantaytambo, uno de los complejos arquitectónicos más representativos del antiguo Imperio Inca y uno de los pocos lugares donde los conquistadores españoles perdieron una batalla importante. Muy conocida por sus andenes, Ollantaytambo fue una fortaleza muy eficaz que también sirvió como un templo.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05: </w:t>
        <w:tab/>
        <w:t xml:space="preserve">VALLE SAGRADO – MACHU PICCHU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Visita a Machu Picchu con tren de ida y retorno. Visitará uno de los más importantes hitos turísticos mundiales: Machu Picchu. La excursión se iniciará a bordo del tren, el cual lo llevará hacia el pueblo de Aguas Calientes, conocido también como Machu Picchu pueblo. La belleza de los paisajes naturales que verá en el camino, hará que este viaje en tren sea el mejor inicio de su visita. Una vez allí, comenzará su ascenso a la ciudadela, donde vivirá, sin duda, una de sus experiencias más inolvidables. Cuando se encuentre en Machu Picchu, podrá recorrer cada rincón de una de las Siete Maravillas del Mundo, además de disfrutar de tiempo libre para explorar la zona por su cuenta, relajarse y tomar fotos impresionantes. Luego, descenderá al pueblo de Aguas Calientes, para instalarse en su hotel. Alojamiento en Aguas Calientes.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06: </w:t>
        <w:tab/>
        <w:t xml:space="preserve">MACHU PICCHU – CUSCO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Visita a Machu Picchu (Segundo ingreso opcional). Tendrá la mañana libre y podrá de visitar Machu Picchu por segunda vez, esta vez para pasear por su cuenta, relajarse en el lugar o tomar fotos impresionantes. Después, descenderá nuevamente al pueblo de Aguas Calientes. Por la tarde, abordará el tren que lo llevará de regreso a Cusco a través de la estación correspondiente. A su arribo, será trasladado a su hotel. Alojamiento en Cusco.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07:</w:t>
        <w:tab/>
        <w:tab/>
        <w:t xml:space="preserve">CUSCO – VISITA DE CIUDAD y RUINAS CERCANAS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Visita de medio día: Mercado San Pedro, Templo de Korikancha, Catedral, Sacsayhuamán, Kenko   Visitará la ciudad del Cusco, conocida también como la Ciudad Imperial y declarada Patrimonio de la Humanidad por la UNESCO. Empezará su recorrido en el icónico Mercado de San Pedro, donde explorará los colores, aromas y tradiciones del Cusco contemporáneo. Continuará hacia el Templo Koricancha, un antiguo palacio inca y centro de culto al dios Sol, sobre el cual la orden de los dominicos construyó una iglesia que se mantiene en pie hasta hoy. Continuará ascendiendo hasta la Fortaleza de Sacsayhuamán, una imponente muestra de la arquitectura militar incaica. Luego de este recorrido profundizará en la arquitectura Inca visitando el sitio arqueológico de Q’enko, para finalmente ser trasladado hacia la Plaza de Armas, donde visitará la Catedral, el templo católico más importante de la ciudad. Alojamiento en Cusco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08: </w:t>
        <w:tab/>
        <w:t xml:space="preserve">CUSCO – LIMA</w:t>
        <w:tab/>
        <w:t xml:space="preserve">- MÉXICO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A la hora indicada traslado al aeropuerto para abordar el vuelo con destino a México.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rPr>
      </w:pPr>
      <w:r w:rsidDel="00000000" w:rsidR="00000000" w:rsidRPr="00000000">
        <w:rPr>
          <w:rFonts w:ascii="Calibri" w:cs="Calibri" w:eastAsia="Calibri" w:hAnsi="Calibri"/>
          <w:b w:val="1"/>
          <w:i w:val="1"/>
          <w:sz w:val="28"/>
          <w:szCs w:val="28"/>
          <w:rtl w:val="0"/>
        </w:rPr>
        <w:t xml:space="preserve">Fin de nuestros servicios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Fonts w:ascii="Questrial" w:cs="Questrial" w:eastAsia="Questrial" w:hAnsi="Questrial"/>
          <w:b w:val="1"/>
          <w:i w:val="0"/>
          <w:smallCaps w:val="0"/>
          <w:strike w:val="0"/>
          <w:color w:val="002060"/>
          <w:sz w:val="26"/>
          <w:szCs w:val="26"/>
          <w:u w:val="none"/>
          <w:shd w:fill="auto" w:val="clear"/>
          <w:vertAlign w:val="baseline"/>
          <w:rtl w:val="0"/>
        </w:rPr>
        <w:t xml:space="preserve">PRECIOS POR PERSONA EN USD (Mínimo 2 pasajeros) </w:t>
      </w:r>
    </w:p>
    <w:tbl>
      <w:tblPr>
        <w:tblStyle w:val="Table1"/>
        <w:tblpPr w:leftFromText="141" w:rightFromText="141" w:topFromText="0" w:bottomFromText="0" w:vertAnchor="text" w:horzAnchor="text" w:tblpX="364.0000000000009" w:tblpY="58"/>
        <w:tblW w:w="9336.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2652"/>
        <w:gridCol w:w="2228"/>
        <w:gridCol w:w="2228"/>
        <w:gridCol w:w="2228"/>
        <w:tblGridChange w:id="0">
          <w:tblGrid>
            <w:gridCol w:w="2652"/>
            <w:gridCol w:w="2228"/>
            <w:gridCol w:w="2228"/>
            <w:gridCol w:w="2228"/>
          </w:tblGrid>
        </w:tblGridChange>
      </w:tblGrid>
      <w:tr>
        <w:trPr>
          <w:cantSplit w:val="0"/>
          <w:trHeight w:val="216" w:hRule="atLeast"/>
          <w:tblHeader w:val="0"/>
        </w:trPr>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2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OCUPACIÓN</w:t>
            </w:r>
          </w:p>
        </w:tc>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2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TURISTA</w:t>
            </w:r>
          </w:p>
        </w:tc>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2C">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w:t>
            </w:r>
          </w:p>
        </w:tc>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2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LUJO</w:t>
            </w:r>
          </w:p>
        </w:tc>
      </w:tr>
      <w:tr>
        <w:trPr>
          <w:cantSplit w:val="0"/>
          <w:trHeight w:val="216" w:hRule="atLeast"/>
          <w:tblHeader w:val="0"/>
        </w:trPr>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2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DOBLE</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2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1,099 USD</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1,299 USD</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2,259 USD</w:t>
            </w:r>
          </w:p>
        </w:tc>
      </w:tr>
      <w:tr>
        <w:trPr>
          <w:cantSplit w:val="0"/>
          <w:trHeight w:val="216" w:hRule="atLeast"/>
          <w:tblHeader w:val="0"/>
        </w:trPr>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TRIPLE</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1,039 USD</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1,229 USD</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2,219 USD</w:t>
            </w:r>
          </w:p>
        </w:tc>
      </w:tr>
      <w:tr>
        <w:trPr>
          <w:cantSplit w:val="0"/>
          <w:trHeight w:val="216" w:hRule="atLeast"/>
          <w:tblHeader w:val="0"/>
        </w:trPr>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SENCILLA</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1,459 USD</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1,879 USD</w:t>
            </w:r>
          </w:p>
        </w:tc>
        <w:tc>
          <w:tcPr>
            <w:tcBorders>
              <w:top w:color="ffd965" w:space="0" w:sz="4" w:val="single"/>
              <w:left w:color="ffd965" w:space="0" w:sz="4" w:val="single"/>
              <w:bottom w:color="ffd965" w:space="0" w:sz="4" w:val="single"/>
              <w:right w:color="ffd965" w:space="0" w:sz="4" w:val="single"/>
            </w:tcBorders>
          </w:tcPr>
          <w:p w:rsidR="00000000" w:rsidDel="00000000" w:rsidP="00000000" w:rsidRDefault="00000000" w:rsidRPr="00000000" w14:paraId="0000003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3,659 USD</w:t>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2060"/>
          <w:sz w:val="24"/>
          <w:szCs w:val="24"/>
          <w:u w:val="none"/>
          <w:shd w:fill="auto" w:val="clear"/>
          <w:vertAlign w:val="baseline"/>
          <w:rtl w:val="0"/>
        </w:rPr>
        <w:t xml:space="preserve">HOTELES PREVISTOS (Ó SIMILARES) </w:t>
      </w:r>
    </w:p>
    <w:tbl>
      <w:tblPr>
        <w:tblStyle w:val="Table2"/>
        <w:tblpPr w:leftFromText="141" w:rightFromText="141" w:topFromText="0" w:bottomFromText="0" w:vertAnchor="text" w:horzAnchor="text" w:tblpX="5.000000000000568" w:tblpY="58"/>
        <w:tblW w:w="10054.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2122"/>
        <w:gridCol w:w="2551"/>
        <w:gridCol w:w="2817"/>
        <w:gridCol w:w="2564"/>
        <w:tblGridChange w:id="0">
          <w:tblGrid>
            <w:gridCol w:w="2122"/>
            <w:gridCol w:w="2551"/>
            <w:gridCol w:w="2817"/>
            <w:gridCol w:w="2564"/>
          </w:tblGrid>
        </w:tblGridChange>
      </w:tblGrid>
      <w:tr>
        <w:trPr>
          <w:cantSplit w:val="0"/>
          <w:trHeight w:val="213" w:hRule="atLeast"/>
          <w:tblHeader w:val="0"/>
        </w:trPr>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40">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CIUDAD</w:t>
            </w:r>
          </w:p>
        </w:tc>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41">
            <w:pPr>
              <w:jc w:val="center"/>
              <w:rPr>
                <w:rFonts w:ascii="Questrial" w:cs="Questrial" w:eastAsia="Questrial" w:hAnsi="Questrial"/>
                <w:color w:val="000000"/>
                <w:sz w:val="24"/>
                <w:szCs w:val="24"/>
              </w:rPr>
            </w:pPr>
            <w:r w:rsidDel="00000000" w:rsidR="00000000" w:rsidRPr="00000000">
              <w:rPr>
                <w:color w:val="000000"/>
                <w:sz w:val="24"/>
                <w:szCs w:val="24"/>
                <w:rtl w:val="0"/>
              </w:rPr>
              <w:t xml:space="preserve">TURISTA</w:t>
            </w:r>
            <w:r w:rsidDel="00000000" w:rsidR="00000000" w:rsidRPr="00000000">
              <w:rPr>
                <w:rtl w:val="0"/>
              </w:rPr>
            </w:r>
          </w:p>
        </w:tc>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42">
            <w:pPr>
              <w:jc w:val="center"/>
              <w:rPr>
                <w:color w:val="000000"/>
                <w:sz w:val="24"/>
                <w:szCs w:val="24"/>
              </w:rPr>
            </w:pPr>
            <w:r w:rsidDel="00000000" w:rsidR="00000000" w:rsidRPr="00000000">
              <w:rPr>
                <w:color w:val="000000"/>
                <w:sz w:val="24"/>
                <w:szCs w:val="24"/>
                <w:rtl w:val="0"/>
              </w:rPr>
              <w:t xml:space="preserve">PRIMERA</w:t>
            </w:r>
          </w:p>
        </w:tc>
        <w:tc>
          <w:tcPr>
            <w:tcBorders>
              <w:top w:color="ffd965" w:space="0" w:sz="4" w:val="single"/>
              <w:left w:color="ffd965" w:space="0" w:sz="4" w:val="single"/>
              <w:right w:color="ffd965" w:space="0" w:sz="4" w:val="single"/>
            </w:tcBorders>
            <w:shd w:fill="f8a602" w:val="clear"/>
          </w:tcPr>
          <w:p w:rsidR="00000000" w:rsidDel="00000000" w:rsidP="00000000" w:rsidRDefault="00000000" w:rsidRPr="00000000" w14:paraId="00000043">
            <w:pPr>
              <w:jc w:val="center"/>
              <w:rPr>
                <w:color w:val="000000"/>
                <w:sz w:val="24"/>
                <w:szCs w:val="24"/>
              </w:rPr>
            </w:pPr>
            <w:r w:rsidDel="00000000" w:rsidR="00000000" w:rsidRPr="00000000">
              <w:rPr>
                <w:color w:val="000000"/>
                <w:sz w:val="24"/>
                <w:szCs w:val="24"/>
                <w:rtl w:val="0"/>
              </w:rPr>
              <w:t xml:space="preserve">LUJO</w:t>
            </w:r>
          </w:p>
        </w:tc>
      </w:tr>
      <w:tr>
        <w:trPr>
          <w:cantSplit w:val="0"/>
          <w:trHeight w:val="101" w:hRule="atLeast"/>
          <w:tblHeader w:val="0"/>
        </w:trPr>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4">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LIMA</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FERRE DE VILLE</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ESTELAR MIRAFLORES</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SWISSOTEL</w:t>
            </w:r>
          </w:p>
        </w:tc>
      </w:tr>
      <w:tr>
        <w:trPr>
          <w:cantSplit w:val="0"/>
          <w:trHeight w:val="101" w:hRule="atLeast"/>
          <w:tblHeader w:val="0"/>
        </w:trPr>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8">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CUSCO</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SAN FRANCISCO CUSCO</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XIMA CUSCO</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PALACIO DEL INKA</w:t>
            </w:r>
          </w:p>
        </w:tc>
      </w:tr>
      <w:tr>
        <w:trPr>
          <w:cantSplit w:val="0"/>
          <w:trHeight w:val="101" w:hRule="atLeast"/>
          <w:tblHeader w:val="0"/>
        </w:trPr>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C">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VALLE SAGRADO</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MABEY URUBAMBA</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4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SAN AGUSTIN </w:t>
            </w:r>
          </w:p>
          <w:p w:rsidR="00000000" w:rsidDel="00000000" w:rsidP="00000000" w:rsidRDefault="00000000" w:rsidRPr="00000000" w14:paraId="0000004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LA RECOLETA</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TAMBO DEL INKA</w:t>
            </w:r>
          </w:p>
        </w:tc>
      </w:tr>
      <w:tr>
        <w:trPr>
          <w:cantSplit w:val="0"/>
          <w:trHeight w:val="101" w:hRule="atLeast"/>
          <w:tblHeader w:val="0"/>
        </w:trPr>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1">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AGUAS CALIENTES</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WIRACOCHA</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EL MAPI BY INKATERRA</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INKATERRA MACHU PICCHU</w:t>
            </w:r>
          </w:p>
        </w:tc>
      </w:tr>
      <w:tr>
        <w:trPr>
          <w:cantSplit w:val="0"/>
          <w:trHeight w:val="101" w:hRule="atLeast"/>
          <w:tblHeader w:val="0"/>
        </w:trPr>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5">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w:t>
            </w:r>
            <w:r w:rsidDel="00000000" w:rsidR="00000000" w:rsidRPr="00000000">
              <w:rPr>
                <w:color w:val="000000"/>
                <w:sz w:val="24"/>
                <w:szCs w:val="24"/>
                <w:rtl w:val="0"/>
              </w:rPr>
              <w:t xml:space="preserve">REN</w:t>
            </w:r>
            <w:r w:rsidDel="00000000" w:rsidR="00000000" w:rsidRPr="00000000">
              <w:rPr>
                <w:rtl w:val="0"/>
              </w:rPr>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EXPEDITION</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EXPEDITION</w:t>
            </w:r>
          </w:p>
        </w:tc>
        <w:tc>
          <w:tcPr>
            <w:tcBorders>
              <w:top w:color="ffd965" w:space="0" w:sz="4" w:val="single"/>
              <w:left w:color="ffd965" w:space="0" w:sz="4" w:val="single"/>
              <w:bottom w:color="ffd965" w:space="0" w:sz="4" w:val="single"/>
              <w:right w:color="ffd965" w:space="0" w:sz="4" w:val="single"/>
            </w:tcBorders>
            <w:vAlign w:val="center"/>
          </w:tcPr>
          <w:p w:rsidR="00000000" w:rsidDel="00000000" w:rsidP="00000000" w:rsidRDefault="00000000" w:rsidRPr="00000000" w14:paraId="0000005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EXPEDITION</w:t>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Fonts w:ascii="Questrial" w:cs="Questrial" w:eastAsia="Questrial" w:hAnsi="Questrial"/>
          <w:b w:val="1"/>
          <w:i w:val="0"/>
          <w:smallCaps w:val="0"/>
          <w:strike w:val="0"/>
          <w:color w:val="002060"/>
          <w:sz w:val="28"/>
          <w:szCs w:val="28"/>
          <w:u w:val="none"/>
          <w:shd w:fill="auto" w:val="clear"/>
          <w:vertAlign w:val="baseline"/>
          <w:rtl w:val="0"/>
        </w:rPr>
        <w:t xml:space="preserve">INCLUYE </w:t>
        <w:tab/>
      </w:r>
    </w:p>
    <w:tbl>
      <w:tblPr>
        <w:tblStyle w:val="Table3"/>
        <w:tblpPr w:leftFromText="141" w:rightFromText="141" w:topFromText="0" w:bottomFromText="0" w:vertAnchor="text" w:horzAnchor="text" w:tblpX="498.5000000000002" w:tblpY="58"/>
        <w:tblW w:w="9067.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5949"/>
        <w:gridCol w:w="3118"/>
        <w:tblGridChange w:id="0">
          <w:tblGrid>
            <w:gridCol w:w="5949"/>
            <w:gridCol w:w="3118"/>
          </w:tblGrid>
        </w:tblGridChange>
      </w:tblGrid>
      <w:tr>
        <w:trPr>
          <w:cantSplit w:val="0"/>
          <w:trHeight w:val="307" w:hRule="atLeast"/>
          <w:tblHeader w:val="0"/>
        </w:trPr>
        <w:tc>
          <w:tcPr>
            <w:shd w:fill="f8a602" w:val="clear"/>
          </w:tcPr>
          <w:p w:rsidR="00000000" w:rsidDel="00000000" w:rsidP="00000000" w:rsidRDefault="00000000" w:rsidRPr="00000000" w14:paraId="0000005B">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SERVICIOS INCLUIDOS </w:t>
            </w:r>
          </w:p>
        </w:tc>
        <w:tc>
          <w:tcPr>
            <w:shd w:fill="f8a602"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0000"/>
                <w:sz w:val="24"/>
                <w:szCs w:val="24"/>
                <w:u w:val="none"/>
                <w:shd w:fill="auto" w:val="clear"/>
                <w:vertAlign w:val="baseline"/>
                <w:rtl w:val="0"/>
              </w:rPr>
              <w:t xml:space="preserve">NO INCLUYE</w:t>
            </w:r>
          </w:p>
        </w:tc>
      </w:tr>
      <w:tr>
        <w:trPr>
          <w:cantSplit w:val="0"/>
          <w:trHeight w:val="147" w:hRule="atLeast"/>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Traslados Aeropuerto – Hotel – Aeropuerto </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Gastos Personales</w:t>
            </w:r>
          </w:p>
        </w:tc>
      </w:tr>
      <w:tr>
        <w:trPr>
          <w:cantSplit w:val="0"/>
          <w:trHeight w:val="147" w:hRule="atLeast"/>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02 Noches de Alojamiento en Lima con desayunos</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0"/>
                <w:i w:val="0"/>
                <w:smallCaps w:val="0"/>
                <w:strike w:val="0"/>
                <w:color w:val="000000"/>
                <w:sz w:val="22"/>
                <w:szCs w:val="22"/>
                <w:u w:val="none"/>
                <w:shd w:fill="auto" w:val="clear"/>
                <w:vertAlign w:val="baseline"/>
                <w:rtl w:val="0"/>
              </w:rPr>
              <w:t xml:space="preserve">Propinas</w:t>
            </w:r>
          </w:p>
        </w:tc>
      </w:tr>
      <w:tr>
        <w:trPr>
          <w:cantSplit w:val="0"/>
          <w:trHeight w:val="147"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Visita de Ciudad de Lima</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0"/>
                <w:i w:val="0"/>
                <w:smallCaps w:val="0"/>
                <w:strike w:val="0"/>
                <w:color w:val="000000"/>
                <w:sz w:val="24"/>
                <w:szCs w:val="24"/>
                <w:u w:val="none"/>
                <w:shd w:fill="auto" w:val="clear"/>
                <w:vertAlign w:val="baseline"/>
                <w:rtl w:val="0"/>
              </w:rPr>
              <w:t xml:space="preserve">Equipaje</w:t>
            </w:r>
          </w:p>
        </w:tc>
      </w:tr>
      <w:tr>
        <w:trPr>
          <w:cantSplit w:val="0"/>
          <w:trHeight w:val="147" w:hRule="atLeast"/>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02 Noches de Alojamiento en Valle Sagrado con desayunos</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Visita Valle Sagrado con almuerzo</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01 Noche de Alojamiento en Aguas Calientes con desayuno</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Excursión Machu Pichu con ingreso, tren, guía y almuerzo</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02 Noches de Alojamiento en Cusco con desayunos</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Visita de Ciudad Cusco</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7" w:hRule="atLeast"/>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2"/>
                <w:szCs w:val="22"/>
                <w:u w:val="none"/>
                <w:shd w:fill="auto" w:val="clear"/>
                <w:vertAlign w:val="baseline"/>
              </w:rPr>
            </w:pPr>
            <w:r w:rsidDel="00000000" w:rsidR="00000000" w:rsidRPr="00000000">
              <w:rPr>
                <w:rFonts w:ascii="Questrial" w:cs="Questrial" w:eastAsia="Questrial" w:hAnsi="Questrial"/>
                <w:b w:val="1"/>
                <w:i w:val="0"/>
                <w:smallCaps w:val="0"/>
                <w:strike w:val="0"/>
                <w:color w:val="000000"/>
                <w:sz w:val="22"/>
                <w:szCs w:val="22"/>
                <w:u w:val="none"/>
                <w:shd w:fill="auto" w:val="clear"/>
                <w:vertAlign w:val="baseline"/>
                <w:rtl w:val="0"/>
              </w:rPr>
              <w:t xml:space="preserve">Seguro de asistencia</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1">
      <w:pPr>
        <w:spacing w:after="0" w:line="240" w:lineRule="auto"/>
        <w:jc w:val="center"/>
        <w:rPr>
          <w:b w:val="1"/>
        </w:rPr>
      </w:pPr>
      <w:r w:rsidDel="00000000" w:rsidR="00000000" w:rsidRPr="00000000">
        <w:rPr>
          <w:b w:val="1"/>
          <w:rtl w:val="0"/>
        </w:rPr>
        <w:t xml:space="preserve">Precios indicados en USD, pagaderos en Moneda Nacional al tipo de cambio del día. Los precios indicados, son de carácter informativo y deben ser confirmados para realizar su reservación ya que están sujetos a modificaciones sin previo aviso. Vigencia hasta el 22 de Diciembre, 2023. No aplica para: Fiesta de la Candelaria en Puno, Concurso Nacional de Marinera en Trujillo, Semana Santa, Inti Raymi en Cusco (22 al 26 de junio), Fiestas Patrias, PERUMIN, 1° de Noviembre, Navidad y Fin de Año.</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bookmarkStart w:colFirst="0" w:colLast="0" w:name="_heading=h.gjdgxs" w:id="0"/>
      <w:bookmarkEnd w:id="0"/>
      <w:r w:rsidDel="00000000" w:rsidR="00000000" w:rsidRPr="00000000">
        <w:rPr>
          <w:rtl w:val="0"/>
        </w:rPr>
      </w:r>
    </w:p>
    <w:sectPr>
      <w:headerReference r:id="rId7" w:type="default"/>
      <w:footerReference r:id="rId8" w:type="default"/>
      <w:pgSz w:h="15840" w:w="12240" w:orient="portrait"/>
      <w:pgMar w:bottom="1417" w:top="1417" w:left="1276" w:right="900" w:header="226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Questrial" w:cs="Questrial" w:eastAsia="Questrial" w:hAnsi="Questrial"/>
        <w:b w:val="0"/>
        <w:i w:val="0"/>
        <w:smallCaps w:val="0"/>
        <w:strike w:val="0"/>
        <w:color w:val="000000"/>
        <w:sz w:val="25"/>
        <w:szCs w:val="25"/>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55 2192 6942          (55) 2589 3970           </w:t>
    </w:r>
    <w:hyperlink r:id="rId1">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contacto@adohatravelmayorista.com.mx</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-870584</wp:posOffset>
          </wp:positionH>
          <wp:positionV relativeFrom="paragraph">
            <wp:posOffset>-1685924</wp:posOffset>
          </wp:positionV>
          <wp:extent cx="7873366" cy="2620804"/>
          <wp:effectExtent b="0" l="0" r="0" t="0"/>
          <wp:wrapNone/>
          <wp:docPr id="64"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7873366" cy="26208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-107177</wp:posOffset>
          </wp:positionH>
          <wp:positionV relativeFrom="paragraph">
            <wp:posOffset>-29843</wp:posOffset>
          </wp:positionV>
          <wp:extent cx="251460" cy="251460"/>
          <wp:effectExtent b="0" l="0" r="0" t="0"/>
          <wp:wrapNone/>
          <wp:docPr id="6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51460"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1307602</wp:posOffset>
          </wp:positionH>
          <wp:positionV relativeFrom="paragraph">
            <wp:posOffset>-8254</wp:posOffset>
          </wp:positionV>
          <wp:extent cx="252095" cy="251460"/>
          <wp:effectExtent b="0" l="0" r="0" t="0"/>
          <wp:wrapNone/>
          <wp:docPr id="63"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252095"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2864622</wp:posOffset>
          </wp:positionH>
          <wp:positionV relativeFrom="paragraph">
            <wp:posOffset>-6349</wp:posOffset>
          </wp:positionV>
          <wp:extent cx="252095" cy="251460"/>
          <wp:effectExtent b="0" l="0" r="0" t="0"/>
          <wp:wrapNone/>
          <wp:docPr id="59"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252095" cy="251460"/>
                  </a:xfrm>
                  <a:prstGeom prst="rect"/>
                  <a:ln/>
                </pic:spPr>
              </pic:pic>
            </a:graphicData>
          </a:graphic>
        </wp:anchor>
      </w:drawing>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-810259</wp:posOffset>
          </wp:positionH>
          <wp:positionV relativeFrom="paragraph">
            <wp:posOffset>-1470659</wp:posOffset>
          </wp:positionV>
          <wp:extent cx="7817947" cy="2156460"/>
          <wp:effectExtent b="0" l="0" r="0" t="0"/>
          <wp:wrapNone/>
          <wp:docPr id="6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817947" cy="2156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-1320799</wp:posOffset>
          </wp:positionV>
          <wp:extent cx="1591066" cy="1591066"/>
          <wp:effectExtent b="0" l="0" r="0" t="0"/>
          <wp:wrapNone/>
          <wp:docPr id="6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591066" cy="1591066"/>
                  </a:xfrm>
                  <a:prstGeom prst="rect"/>
                  <a:ln/>
                </pic:spPr>
              </pic:pic>
            </a:graphicData>
          </a:graphic>
        </wp:anchor>
      </w:drawing>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2182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1644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44E"/>
  </w:style>
  <w:style w:type="paragraph" w:styleId="Piedepgina">
    <w:name w:val="footer"/>
    <w:basedOn w:val="Normal"/>
    <w:link w:val="PiedepginaCar"/>
    <w:uiPriority w:val="99"/>
    <w:unhideWhenUsed w:val="1"/>
    <w:rsid w:val="0071644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644E"/>
  </w:style>
  <w:style w:type="character" w:styleId="Hipervnculo">
    <w:name w:val="Hyperlink"/>
    <w:basedOn w:val="Fuentedeprrafopredeter"/>
    <w:uiPriority w:val="99"/>
    <w:unhideWhenUsed w:val="1"/>
    <w:rsid w:val="00F354AE"/>
    <w:rPr>
      <w:color w:val="0563c1" w:themeColor="hyperlink"/>
      <w:u w:val="single"/>
    </w:rPr>
  </w:style>
  <w:style w:type="paragraph" w:styleId="NormalWeb">
    <w:name w:val="Normal (Web)"/>
    <w:basedOn w:val="Normal"/>
    <w:unhideWhenUsed w:val="1"/>
    <w:rsid w:val="00F354AE"/>
    <w:pPr>
      <w:spacing w:after="100" w:afterAutospacing="1" w:before="100" w:beforeAutospacing="1" w:line="240" w:lineRule="auto"/>
    </w:pPr>
    <w:rPr>
      <w:rFonts w:ascii="Arial Unicode MS" w:cs="Arial Unicode MS" w:eastAsia="Arial Unicode MS" w:hAnsi="Arial Unicode MS"/>
      <w:sz w:val="24"/>
      <w:szCs w:val="24"/>
      <w:lang w:eastAsia="es-ES" w:val="es-ES"/>
    </w:rPr>
  </w:style>
  <w:style w:type="table" w:styleId="Tablaconcuadrcula5oscura-nfasis6">
    <w:name w:val="Grid Table 5 Dark Accent 6"/>
    <w:basedOn w:val="Tablanormal"/>
    <w:uiPriority w:val="50"/>
    <w:rsid w:val="00F354AE"/>
    <w:pPr>
      <w:spacing w:after="0" w:line="240" w:lineRule="auto"/>
    </w:pPr>
    <w:rPr>
      <w:rFonts w:ascii="Times New Roman" w:cs="Times New Roman" w:eastAsia="Times New Roman" w:hAnsi="Times New Roman"/>
      <w:sz w:val="20"/>
      <w:szCs w:val="20"/>
      <w:lang w:eastAsia="es-MX"/>
    </w:rPr>
    <w:tblPr>
      <w:tblStyleRowBandSize w:val="1"/>
      <w:tblStyleColBandSize w:val="1"/>
      <w:tblInd w:w="0.0" w:type="nil"/>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character" w:styleId="Textoennegrita">
    <w:name w:val="Strong"/>
    <w:basedOn w:val="Fuentedeprrafopredeter"/>
    <w:qFormat w:val="1"/>
    <w:rsid w:val="00F354AE"/>
    <w:rPr>
      <w:b w:val="1"/>
      <w:bCs w:val="1"/>
    </w:rPr>
  </w:style>
  <w:style w:type="paragraph" w:styleId="Sinespaciado">
    <w:name w:val="No Spacing"/>
    <w:uiPriority w:val="1"/>
    <w:qFormat w:val="1"/>
    <w:rsid w:val="003C6FBB"/>
    <w:pPr>
      <w:spacing w:after="0" w:line="240" w:lineRule="auto"/>
    </w:pPr>
  </w:style>
  <w:style w:type="table" w:styleId="Tablaconcuadrcula7concolores-nfasis5">
    <w:name w:val="Grid Table 7 Colorful Accent 5"/>
    <w:basedOn w:val="Tablanormal"/>
    <w:uiPriority w:val="52"/>
    <w:rsid w:val="003C6FBB"/>
    <w:pPr>
      <w:spacing w:after="0" w:line="240" w:lineRule="auto"/>
    </w:pPr>
    <w:rPr>
      <w:color w:val="2f5496" w:themeColor="accent5" w:themeShade="0000BF"/>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tblStylePr w:type="neCell">
      <w:tblPr/>
      <w:tcPr>
        <w:tcBorders>
          <w:bottom w:color="8eaadb" w:space="0" w:sz="4" w:themeColor="accent5" w:themeTint="000099" w:val="single"/>
        </w:tcBorders>
      </w:tcPr>
    </w:tblStylePr>
    <w:tblStylePr w:type="nwCell">
      <w:tblPr/>
      <w:tcPr>
        <w:tcBorders>
          <w:bottom w:color="8eaadb" w:space="0" w:sz="4" w:themeColor="accent5" w:themeTint="000099" w:val="single"/>
        </w:tcBorders>
      </w:tcPr>
    </w:tblStylePr>
    <w:tblStylePr w:type="seCell">
      <w:tblPr/>
      <w:tcPr>
        <w:tcBorders>
          <w:top w:color="8eaadb" w:space="0" w:sz="4" w:themeColor="accent5" w:themeTint="000099" w:val="single"/>
        </w:tcBorders>
      </w:tcPr>
    </w:tblStylePr>
    <w:tblStylePr w:type="swCell">
      <w:tblPr/>
      <w:tcPr>
        <w:tcBorders>
          <w:top w:color="8eaadb" w:space="0" w:sz="4" w:themeColor="accent5" w:themeTint="000099" w:val="single"/>
        </w:tcBorders>
      </w:tcPr>
    </w:tblStylePr>
  </w:style>
  <w:style w:type="table" w:styleId="Tablaconcuadrcula5oscura-nfasis4">
    <w:name w:val="Grid Table 5 Dark Accent 4"/>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Tablaconcuadrcula5oscura-nfasis2">
    <w:name w:val="Grid Table 5 Dark Accent 2"/>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Tablaconcuadrcula6concolores-nfasis4">
    <w:name w:val="Grid Table 6 Colorful Accent 4"/>
    <w:basedOn w:val="Tablanormal"/>
    <w:uiPriority w:val="51"/>
    <w:rsid w:val="003C6FBB"/>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Default" w:customStyle="1">
    <w:name w:val="Default"/>
    <w:rsid w:val="006065AD"/>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1"/>
    <w:qFormat w:val="1"/>
    <w:rsid w:val="001B6C42"/>
    <w:pPr>
      <w:ind w:left="720"/>
      <w:contextualSpacing w:val="1"/>
    </w:pPr>
    <w:rPr>
      <w:rFonts w:ascii="Arial" w:cs="Arial" w:eastAsia="Arial" w:hAnsi="Arial"/>
      <w:sz w:val="20"/>
      <w:szCs w:val="20"/>
      <w:lang w:eastAsia="es-CO" w:val="es-C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9" Type="http://schemas.openxmlformats.org/officeDocument/2006/relationships/font" Target="fonts/CenturyGothic-boldItalic.ttf"/><Relationship Id="rId5" Type="http://schemas.openxmlformats.org/officeDocument/2006/relationships/font" Target="fonts/Questrial-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er1.xml.rels><?xml version="1.0" encoding="UTF-8" standalone="yes"?><Relationships xmlns="http://schemas.openxmlformats.org/package/2006/relationships"><Relationship Id="rId1" Type="http://schemas.openxmlformats.org/officeDocument/2006/relationships/hyperlink" Target="mailto:contacto@adohatravelmayorista.com.mx" TargetMode="External"/><Relationship Id="rId2" Type="http://schemas.openxmlformats.org/officeDocument/2006/relationships/image" Target="media/image6.jp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tIYv6mJDVWThMTuawOaG11Tmg==">CgMxLjAyCGguZ2pkZ3hzOAByITE3eFlHNVJBejU5eUtubzJVejJxYkh4WkxWNmNwQjVaQg==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2022-12-27T22:37:00Z</dcterms:created>
  <dc:creator>gaby lopez ramos</dc:creator>
</cp:coreProperties>
</file>